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5" w:rsidRDefault="003F6D05">
      <w:bookmarkStart w:id="0" w:name="_GoBack"/>
      <w:bookmarkEnd w:id="0"/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551"/>
        <w:gridCol w:w="4835"/>
      </w:tblGrid>
      <w:tr w:rsidR="00C14299" w:rsidTr="00B8787D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14299" w:rsidRDefault="004E4F0A" w:rsidP="00B8787D">
            <w:pPr>
              <w:spacing w:after="0" w:line="240" w:lineRule="auto"/>
            </w:pPr>
            <w:r>
              <w:t>Diplomaszeminárium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4E4F0A">
              <w:t>BTKVAN209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</w:t>
            </w:r>
            <w:r w:rsidR="004E4F0A">
              <w:rPr>
                <w:b/>
              </w:rPr>
              <w:t>árgyfelelős intéze: AFTI</w:t>
            </w:r>
          </w:p>
        </w:tc>
      </w:tr>
      <w:tr w:rsidR="00C14299" w:rsidTr="00B8787D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AB38B3">
              <w:t>kötelező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név, beosztás </w:t>
            </w:r>
            <w:r w:rsidR="004E4F0A">
              <w:t xml:space="preserve">Dr. </w:t>
            </w:r>
            <w:r>
              <w:t>Kotics József</w:t>
            </w:r>
            <w:r w:rsidR="004E4F0A">
              <w:t xml:space="preserve"> egyetemi docens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név, beosztás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C14B39">
              <w:rPr>
                <w:b/>
              </w:rPr>
              <w:t>2. (1</w:t>
            </w:r>
            <w:r w:rsidR="004E4F0A">
              <w:rPr>
                <w:b/>
              </w:rPr>
              <w:t>T)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Előfeltétel: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Óraszám/hét:</w:t>
            </w:r>
            <w:r w:rsidR="00C14B39">
              <w:rPr>
                <w:b/>
              </w:rPr>
              <w:t xml:space="preserve"> 0-2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Számonkérés módja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Kreditpont:</w:t>
            </w:r>
            <w:r w:rsidR="00C14B39">
              <w:rPr>
                <w:b/>
              </w:rP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/ levelező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14299" w:rsidRDefault="000151D9" w:rsidP="00B8787D">
            <w:pPr>
              <w:spacing w:after="0" w:line="240" w:lineRule="auto"/>
            </w:pPr>
            <w:r>
              <w:t>A második félévétől félévente egy-egy szakdolgozati</w:t>
            </w:r>
            <w:r w:rsidRPr="006950F7">
              <w:t xml:space="preserve"> szeminárium</w:t>
            </w:r>
            <w:r>
              <w:t xml:space="preserve"> támogatja a hallgatókat abban, hogy elkészítsék diplomamunkájukat. Mindhárom gyakorlati óra </w:t>
            </w:r>
            <w:r w:rsidRPr="00E931BF">
              <w:rPr>
                <w:i/>
              </w:rPr>
              <w:t>(</w:t>
            </w:r>
            <w:r>
              <w:rPr>
                <w:i/>
              </w:rPr>
              <w:t>Diplomamunka szeminárium I.,</w:t>
            </w:r>
            <w:r w:rsidRPr="00E931BF">
              <w:rPr>
                <w:i/>
              </w:rPr>
              <w:t xml:space="preserve"> II</w:t>
            </w:r>
            <w:r>
              <w:rPr>
                <w:i/>
              </w:rPr>
              <w:t xml:space="preserve"> és III</w:t>
            </w:r>
            <w:r w:rsidRPr="00E931BF">
              <w:rPr>
                <w:i/>
              </w:rPr>
              <w:t>.)</w:t>
            </w:r>
            <w:r>
              <w:t xml:space="preserve"> célja a releváns és kiérlelt antropológiai kutatási témán alapuló színvonalas szakdolgozat elkészítése. Az első</w:t>
            </w:r>
            <w:r w:rsidRPr="006950F7">
              <w:t xml:space="preserve"> szeminárium során minden hallgató bemutatja </w:t>
            </w:r>
            <w:r>
              <w:t>választott témáját (indokolja témaválasztását) és ismerteti kutatása adott állását</w:t>
            </w:r>
            <w:r w:rsidRPr="006950F7">
              <w:t xml:space="preserve">, </w:t>
            </w:r>
            <w:r>
              <w:t>konceptualizálja a használt fogalmakat és megfogalmazza a kutatási kérdéseket, és mérhetővé teszi (operacionalizálja) azokat. A magyar és nemzetközi szakirodalmi tájékozódás eredményeképpen eljut a kutatás hipotézisének megfogalmazásáig, miközben megismerkedik a szakdolgozat tartalmi és formai követelményeivel, a tudományos szöveg megalkotásának kritériumaival. A szeminárium keretében a hallgatók kidolgozzák a szakdolgozat elkészítésének egyéni ütemtervét, kijelölik</w:t>
            </w:r>
            <w:r w:rsidRPr="006950F7">
              <w:t xml:space="preserve"> </w:t>
            </w:r>
            <w:r>
              <w:t>a még elvég</w:t>
            </w:r>
            <w:r w:rsidRPr="006950F7">
              <w:t>zendő feladatok</w:t>
            </w:r>
            <w:r>
              <w:t xml:space="preserve"> körét és a megvalósítás időbeli kereteit és megbeszélik az esetleges kritikus pontokat. A félév végére a hallgatók elkészítik a szakdolgozat szerkezeti vázát és összeállítják annak szakirodalmi hátterét.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163635" w:rsidRDefault="00163635" w:rsidP="00163635">
            <w:pPr>
              <w:spacing w:after="0" w:line="240" w:lineRule="auto"/>
            </w:pPr>
            <w:r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163635" w:rsidRDefault="00163635" w:rsidP="00163635">
            <w:pPr>
              <w:spacing w:after="0" w:line="240" w:lineRule="auto"/>
            </w:pPr>
            <w:r>
              <w:t>Ismeri és érti az alapvető szakantropológiai irányokat.</w:t>
            </w:r>
          </w:p>
          <w:p w:rsidR="00163635" w:rsidRDefault="00163635" w:rsidP="00163635">
            <w:pPr>
              <w:spacing w:after="0" w:line="240" w:lineRule="auto"/>
            </w:pPr>
            <w:r>
              <w:t>Elegendő ismeretanyaggal rendelkezik az önállóan megtervezett és megvalósított kutatáshoz vagy tudományos munkához és ismeri a széles körben alkalmazható, elfogadott szakspecifikus problémamegoldó kutatástechnikai eszközöket.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792857" w:rsidRDefault="00792857" w:rsidP="00792857">
            <w:pPr>
              <w:spacing w:after="0" w:line="240" w:lineRule="auto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792857" w:rsidRDefault="00792857" w:rsidP="00792857">
            <w:pPr>
              <w:spacing w:after="0" w:line="240" w:lineRule="auto"/>
            </w:pPr>
            <w: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792857" w:rsidRDefault="00792857" w:rsidP="00792857">
            <w:pPr>
              <w:spacing w:after="0" w:line="240" w:lineRule="auto"/>
            </w:pPr>
            <w: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792857" w:rsidRDefault="00792857" w:rsidP="00792857">
            <w:pPr>
              <w:spacing w:after="0" w:line="240" w:lineRule="auto"/>
            </w:pPr>
            <w:r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163635" w:rsidRDefault="00792857" w:rsidP="00792857">
            <w:pPr>
              <w:spacing w:after="0" w:line="240" w:lineRule="auto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C86016" w:rsidRDefault="00C86016" w:rsidP="00C8601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C86016" w:rsidRDefault="00C86016" w:rsidP="00C86016">
            <w:pPr>
              <w:spacing w:after="0" w:line="240" w:lineRule="auto"/>
            </w:pPr>
            <w: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163635" w:rsidRDefault="00C86016" w:rsidP="00C86016">
            <w:pPr>
              <w:spacing w:after="0" w:line="240" w:lineRule="auto"/>
            </w:pPr>
            <w:r>
              <w:t>A kulturális antropológia nemzetközileg meghatározott kutatásetikai normáit betartja.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BA6D0D" w:rsidRDefault="00BA6D0D" w:rsidP="00BA6D0D">
            <w:pPr>
              <w:spacing w:after="0" w:line="240" w:lineRule="auto"/>
            </w:pPr>
            <w:r>
              <w:t xml:space="preserve">Önállóan, bátran és felelősségteljesen vesz részt kulturális antropológiai szakmai koncepciók </w:t>
            </w:r>
            <w:r>
              <w:lastRenderedPageBreak/>
              <w:t>kidolgozásában, megvitatásában és megvalósításában.</w:t>
            </w:r>
          </w:p>
          <w:p w:rsidR="00BA6D0D" w:rsidRDefault="00BA6D0D" w:rsidP="00BA6D0D">
            <w:pPr>
              <w:spacing w:after="0" w:line="240" w:lineRule="auto"/>
            </w:pPr>
            <w:r>
              <w:t>Rendszeresen kezdeményez, vezet és formál kulturális antropológia projekteket.</w:t>
            </w:r>
          </w:p>
          <w:p w:rsidR="00C14299" w:rsidRDefault="00BA6D0D" w:rsidP="00B8787D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  <w:p w:rsidR="000B4AC9" w:rsidRDefault="000B4AC9" w:rsidP="00B8787D">
            <w:pPr>
              <w:spacing w:after="0" w:line="240" w:lineRule="auto"/>
            </w:pPr>
          </w:p>
        </w:tc>
      </w:tr>
      <w:tr w:rsidR="00C14299" w:rsidTr="002A54D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Pr="002A54DC" w:rsidRDefault="00C14299" w:rsidP="00B8787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1. A tudományos írás kritériumai és műfajai.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2. Szövegfajták, szövegváltozatok (elbeszéló, leíró, érvelő szöveg).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3. A társadalomtudományos szövegfajták (esszé, tanulmány, kritikai recenzió, könyvismertetés).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4. Hallgatói dolgozatok megbeszélése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5. Az értekező típusú szakszöveg-alkotás tartalmi kritériuma.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6. A társadalomtudományos szakterminológiája.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7. Hallgatói dolgozatok megbeszélése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8. Bibliográfia, kiadványtípusok, hivatkozási formák.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9. Tájékozódás a könyvtárban: szakmai folyóiratok, kézikönyvek.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10. Tájékozódás a neten: adatbázisok, értékkritériumok.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11. Vizuális források, filmek, fotók felhasználása, idézése.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12. Eredetiség, idézés, szerzői jog, plágium. </w:t>
            </w:r>
          </w:p>
          <w:p w:rsidR="00501A66" w:rsidRDefault="00501A66" w:rsidP="00501A66">
            <w:pPr>
              <w:spacing w:after="0" w:line="240" w:lineRule="auto"/>
            </w:pPr>
            <w:r>
              <w:t xml:space="preserve">13. Hallgatói dolgozatok megbeszélése </w:t>
            </w:r>
          </w:p>
          <w:p w:rsidR="00C14299" w:rsidRDefault="00501A66" w:rsidP="00501A66">
            <w:pPr>
              <w:spacing w:after="0" w:line="240" w:lineRule="auto"/>
            </w:pPr>
            <w:r>
              <w:t>14. A szemeszter értékelése, a szakdolgozat témaválasztása, a tanulmányhoz vezető út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C14299" w:rsidRDefault="00C14299" w:rsidP="00B8787D">
            <w:pPr>
              <w:spacing w:after="0" w:line="240" w:lineRule="auto"/>
            </w:pPr>
            <w:r>
              <w:t>(prezentáció, zárthelyi dolgozat, beadvány stb.)</w:t>
            </w:r>
          </w:p>
          <w:p w:rsidR="00C14299" w:rsidRDefault="00C14299" w:rsidP="00B8787D">
            <w:pPr>
              <w:spacing w:after="0" w:line="240" w:lineRule="auto"/>
            </w:pPr>
            <w:r>
              <w:t>A számonkérés módjánál az ESG követelményeket figyelembe véve meg kell határozni azokat az elvárásokat és módszereket, amelyek szisztematikusan felépítve képesek nyomon követni a félévi munka alakulását.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14299" w:rsidRDefault="00C14299" w:rsidP="00B8787D">
            <w:pPr>
              <w:spacing w:after="0" w:line="240" w:lineRule="auto"/>
            </w:pPr>
            <w:r>
              <w:t>(félévközi teljesítmény aránya a beszámításnál, ponthatárok)</w:t>
            </w:r>
          </w:p>
          <w:p w:rsidR="00C14299" w:rsidRDefault="00C14299" w:rsidP="00B8787D">
            <w:pPr>
              <w:spacing w:after="0" w:line="240" w:lineRule="auto"/>
            </w:pPr>
            <w:r>
              <w:t>Az értékelés kapcsán részletesen be kell mutatni, hogy a hallgatói teljesítményszintek milyen megítélés alá tartoznak. Tisztázni kell az elfogadás feltételeit, három és ötfokozatú értékelésnél az egyes szintek elhatárolását: százalékosan vagy ponthatárok megadásával.</w:t>
            </w:r>
          </w:p>
          <w:p w:rsidR="00C14299" w:rsidRPr="00D230F3" w:rsidRDefault="00C14299" w:rsidP="00B8787D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 xml:space="preserve">Az írásbeli / szóbeli vizsga itt tüntetendő fel, illetve </w:t>
            </w:r>
            <w:r w:rsidRPr="00D230F3">
              <w:rPr>
                <w:b/>
              </w:rPr>
              <w:t>az adott ismeret átadásában alkalmazandó</w:t>
            </w:r>
            <w:r>
              <w:t xml:space="preserve"> </w:t>
            </w:r>
            <w:r>
              <w:rPr>
                <w:b/>
              </w:rPr>
              <w:t>további</w:t>
            </w:r>
            <w:r>
              <w:t xml:space="preserve"> (</w:t>
            </w:r>
            <w:r>
              <w:rPr>
                <w:i/>
              </w:rPr>
              <w:t>sajátos</w:t>
            </w:r>
            <w:r>
              <w:t xml:space="preserve">) </w:t>
            </w:r>
            <w:r>
              <w:rPr>
                <w:b/>
              </w:rPr>
              <w:t>módok, jellemzők</w:t>
            </w:r>
            <w:r>
              <w:t xml:space="preserve"> </w:t>
            </w:r>
            <w:r>
              <w:rPr>
                <w:i/>
                <w:sz w:val="21"/>
                <w:szCs w:val="21"/>
              </w:rPr>
              <w:t xml:space="preserve">(ha vannak): </w:t>
            </w:r>
            <w:r>
              <w:rPr>
                <w:sz w:val="24"/>
                <w:szCs w:val="24"/>
              </w:rPr>
              <w:t xml:space="preserve"> </w:t>
            </w:r>
            <w:r>
              <w:t>pl. esetismertetések, szerepjáték, tematikus prezentációk.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4F7B77" w:rsidRDefault="004F7B77" w:rsidP="004F7B77">
            <w:pPr>
              <w:spacing w:after="0" w:line="240" w:lineRule="auto"/>
            </w:pPr>
            <w:r>
              <w:t>Howard S. Becker 1986: Writing for Social Scientists. Chicago-London: The University of</w:t>
            </w:r>
          </w:p>
          <w:p w:rsidR="004F7B77" w:rsidRDefault="004F7B77" w:rsidP="004F7B77">
            <w:pPr>
              <w:spacing w:after="0" w:line="240" w:lineRule="auto"/>
            </w:pPr>
            <w:r>
              <w:t>Chicago Press</w:t>
            </w:r>
          </w:p>
          <w:p w:rsidR="004F7B77" w:rsidRDefault="004F7B77" w:rsidP="004F7B77">
            <w:pPr>
              <w:spacing w:after="0" w:line="240" w:lineRule="auto"/>
            </w:pPr>
            <w:r>
              <w:t>Lee Cuba 1994: How to Write About Social Sciences. London: Harper Collins Publishers</w:t>
            </w:r>
          </w:p>
          <w:p w:rsidR="004F7B77" w:rsidRDefault="004F7B77" w:rsidP="004F7B77">
            <w:pPr>
              <w:spacing w:after="0" w:line="240" w:lineRule="auto"/>
            </w:pPr>
            <w:r>
              <w:t>Umberto Eco 1996: Hogyan írjunk szakdolgozatot. Budapest: Kairosz</w:t>
            </w:r>
          </w:p>
          <w:p w:rsidR="004F7B77" w:rsidRDefault="004F7B77" w:rsidP="004F7B77">
            <w:pPr>
              <w:spacing w:after="0" w:line="240" w:lineRule="auto"/>
            </w:pPr>
            <w:r>
              <w:t>Steve Good 1995: The Student's Only Survival Guide to Essay Writing. Victoria: Orca Book</w:t>
            </w:r>
          </w:p>
          <w:p w:rsidR="004F7B77" w:rsidRDefault="004F7B77" w:rsidP="004F7B77">
            <w:pPr>
              <w:spacing w:after="0" w:line="240" w:lineRule="auto"/>
            </w:pPr>
            <w:r>
              <w:t>Christine A. Hult 1995: Researching and Writing in the Social Sciences. Boston-London.</w:t>
            </w:r>
          </w:p>
          <w:p w:rsidR="004F7B77" w:rsidRDefault="004F7B77" w:rsidP="004F7B77">
            <w:pPr>
              <w:spacing w:after="0" w:line="240" w:lineRule="auto"/>
            </w:pPr>
            <w:r>
              <w:t>Allyn and Bacon</w:t>
            </w:r>
          </w:p>
          <w:p w:rsidR="00A02E41" w:rsidRPr="00A02E41" w:rsidRDefault="00A02E41" w:rsidP="00A02E41">
            <w:pPr>
              <w:spacing w:after="0" w:line="240" w:lineRule="auto"/>
            </w:pPr>
            <w:r w:rsidRPr="00A02E41">
              <w:t>ACZEL, Richard</w:t>
            </w:r>
          </w:p>
          <w:p w:rsidR="00A02E41" w:rsidRPr="00A02E41" w:rsidRDefault="00A02E41" w:rsidP="00A02E41">
            <w:pPr>
              <w:spacing w:after="0" w:line="240" w:lineRule="auto"/>
            </w:pPr>
            <w:r w:rsidRPr="00A02E41">
              <w:t>2005 Hogyan írjunk esszét? Budapest: Osiris. ISBN 9789633896938</w:t>
            </w:r>
          </w:p>
          <w:p w:rsidR="00A02E41" w:rsidRPr="00A02E41" w:rsidRDefault="00A02E41" w:rsidP="00A02E41">
            <w:pPr>
              <w:spacing w:after="0" w:line="240" w:lineRule="auto"/>
            </w:pPr>
            <w:r w:rsidRPr="00A02E41">
              <w:t>HAVASRÉTI József</w:t>
            </w:r>
          </w:p>
          <w:p w:rsidR="00A02E41" w:rsidRPr="00A02E41" w:rsidRDefault="00A02E41" w:rsidP="00A02E41">
            <w:pPr>
              <w:spacing w:after="0" w:line="240" w:lineRule="auto"/>
            </w:pPr>
            <w:r w:rsidRPr="00A02E41">
              <w:t>2006 Tudományos írásmű. Bölcsész Konzorcium. ISBN 963970430x</w:t>
            </w:r>
          </w:p>
          <w:p w:rsidR="00A02E41" w:rsidRPr="00A02E41" w:rsidRDefault="00A02E41" w:rsidP="00A02E41">
            <w:pPr>
              <w:spacing w:after="0" w:line="240" w:lineRule="auto"/>
            </w:pPr>
            <w:r w:rsidRPr="00A02E41">
              <w:t>KOVÁCS Éva (szerk.)</w:t>
            </w:r>
          </w:p>
          <w:p w:rsidR="00C14299" w:rsidRPr="00A02E41" w:rsidRDefault="00A02E41" w:rsidP="00A02E41">
            <w:pPr>
              <w:spacing w:after="0" w:line="240" w:lineRule="auto"/>
            </w:pPr>
            <w:r w:rsidRPr="00A02E41">
              <w:t>2007 Közösségtanulmány. Módszertani jegyzet. Budapest – Pécs: Néprajzi Múzeum – PTE-BTK Kommunikáció- és Médiatudományi Tanszék. ISBN 9789636421564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4F7B77" w:rsidRPr="00A02E41" w:rsidRDefault="004F7B77" w:rsidP="004F7B77">
            <w:pPr>
              <w:spacing w:after="0" w:line="240" w:lineRule="auto"/>
            </w:pPr>
            <w:r w:rsidRPr="00A02E41">
              <w:t>ECO, Umberto</w:t>
            </w:r>
          </w:p>
          <w:p w:rsidR="004F7B77" w:rsidRPr="00A02E41" w:rsidRDefault="004F7B77" w:rsidP="004F7B77">
            <w:pPr>
              <w:spacing w:after="0" w:line="240" w:lineRule="auto"/>
            </w:pPr>
            <w:r w:rsidRPr="00A02E41">
              <w:t>1992 Hogyan írjunk szakdolgozatot? Budapest: Gondolat. ISBN 139137537</w:t>
            </w:r>
          </w:p>
          <w:p w:rsidR="004F7B77" w:rsidRPr="00A02E41" w:rsidRDefault="004F7B77" w:rsidP="004F7B77">
            <w:pPr>
              <w:spacing w:after="0" w:line="240" w:lineRule="auto"/>
            </w:pPr>
            <w:r w:rsidRPr="00A02E41">
              <w:t>GYURGYÁK János</w:t>
            </w:r>
          </w:p>
          <w:p w:rsidR="00C14299" w:rsidRDefault="004F7B77" w:rsidP="00B8787D">
            <w:pPr>
              <w:spacing w:after="0" w:line="240" w:lineRule="auto"/>
            </w:pPr>
            <w:r w:rsidRPr="00A02E41">
              <w:t>2005 Szerkesztők és szerzők kézikönyve. Budapest: Osiris. ISBN 9633897149</w:t>
            </w:r>
          </w:p>
        </w:tc>
      </w:tr>
    </w:tbl>
    <w:p w:rsidR="00C14299" w:rsidRPr="00C14299" w:rsidRDefault="00C14299"/>
    <w:sectPr w:rsidR="00C14299" w:rsidRPr="00C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9"/>
    <w:rsid w:val="000151D9"/>
    <w:rsid w:val="000B4AC9"/>
    <w:rsid w:val="001051BF"/>
    <w:rsid w:val="00163635"/>
    <w:rsid w:val="002A54DC"/>
    <w:rsid w:val="003F6D05"/>
    <w:rsid w:val="004E4F0A"/>
    <w:rsid w:val="004F7B77"/>
    <w:rsid w:val="00501A66"/>
    <w:rsid w:val="00792857"/>
    <w:rsid w:val="00917A80"/>
    <w:rsid w:val="00A02E41"/>
    <w:rsid w:val="00AB38B3"/>
    <w:rsid w:val="00B0750B"/>
    <w:rsid w:val="00B6595A"/>
    <w:rsid w:val="00BA6D0D"/>
    <w:rsid w:val="00C14299"/>
    <w:rsid w:val="00C14B39"/>
    <w:rsid w:val="00C86016"/>
    <w:rsid w:val="00DF2875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uppressAutoHyphens w:val="0"/>
      <w:autoSpaceDN/>
      <w:spacing w:before="480" w:after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uppressAutoHyphens w:val="0"/>
      <w:autoSpaceDN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uppressAutoHyphens w:val="0"/>
      <w:autoSpaceDN/>
      <w:spacing w:after="200" w:line="240" w:lineRule="auto"/>
      <w:jc w:val="center"/>
      <w:textAlignment w:val="auto"/>
    </w:pPr>
    <w:rPr>
      <w:rFonts w:eastAsiaTheme="minorHAnsi" w:cstheme="minorBidi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uppressAutoHyphens w:val="0"/>
      <w:autoSpaceDN/>
      <w:spacing w:before="480" w:after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uppressAutoHyphens w:val="0"/>
      <w:autoSpaceDN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uppressAutoHyphens w:val="0"/>
      <w:autoSpaceDN/>
      <w:spacing w:after="200" w:line="240" w:lineRule="auto"/>
      <w:jc w:val="center"/>
      <w:textAlignment w:val="auto"/>
    </w:pPr>
    <w:rPr>
      <w:rFonts w:eastAsiaTheme="minorHAnsi" w:cstheme="minorBidi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2018-09-28T08:34:00Z</dcterms:created>
  <dcterms:modified xsi:type="dcterms:W3CDTF">2018-09-28T08:34:00Z</dcterms:modified>
</cp:coreProperties>
</file>