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0" w:type="dxa"/>
        <w:tblInd w:w="108" w:type="dxa"/>
        <w:tblCellMar>
          <w:left w:w="10" w:type="dxa"/>
          <w:right w:w="10" w:type="dxa"/>
        </w:tblCellMar>
        <w:tblLook w:val="0000" w:firstRow="0" w:lastRow="0" w:firstColumn="0" w:lastColumn="0" w:noHBand="0" w:noVBand="0"/>
      </w:tblPr>
      <w:tblGrid>
        <w:gridCol w:w="4835"/>
        <w:gridCol w:w="4835"/>
      </w:tblGrid>
      <w:tr w:rsidR="00C83643" w:rsidTr="00F333BA">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F333BA">
            <w:pPr>
              <w:spacing w:after="0" w:line="240" w:lineRule="auto"/>
              <w:rPr>
                <w:b/>
              </w:rPr>
            </w:pPr>
            <w:bookmarkStart w:id="0" w:name="_GoBack"/>
            <w:bookmarkEnd w:id="0"/>
            <w:r>
              <w:rPr>
                <w:b/>
              </w:rPr>
              <w:t>Tantárgy neve:</w:t>
            </w:r>
          </w:p>
          <w:p w:rsidR="00C83643" w:rsidRDefault="00201808" w:rsidP="00F333BA">
            <w:pPr>
              <w:spacing w:after="0" w:line="240" w:lineRule="auto"/>
            </w:pPr>
            <w:r>
              <w:t>Kutatásmódszertan</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F333BA">
            <w:pPr>
              <w:spacing w:after="0" w:line="240" w:lineRule="auto"/>
            </w:pPr>
            <w:r>
              <w:rPr>
                <w:b/>
              </w:rPr>
              <w:t>Tantárgy Neptun kódja:</w:t>
            </w:r>
            <w:r>
              <w:t xml:space="preserve"> </w:t>
            </w:r>
            <w:r w:rsidR="00A947C8" w:rsidRPr="00A947C8">
              <w:t>BTKVAN101</w:t>
            </w:r>
          </w:p>
          <w:p w:rsidR="00C83643" w:rsidRDefault="00C83643" w:rsidP="00F42849">
            <w:pPr>
              <w:spacing w:after="0" w:line="240" w:lineRule="auto"/>
            </w:pPr>
            <w:r>
              <w:rPr>
                <w:b/>
              </w:rPr>
              <w:t>Tárgyfelelős intézet:</w:t>
            </w:r>
            <w:r>
              <w:t xml:space="preserve"> </w:t>
            </w:r>
            <w:r w:rsidR="00F42849">
              <w:t>AFTI</w:t>
            </w:r>
          </w:p>
        </w:tc>
      </w:tr>
      <w:tr w:rsidR="00C83643" w:rsidTr="00F333BA">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F333BA">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F42849">
            <w:pPr>
              <w:spacing w:after="0" w:line="240" w:lineRule="auto"/>
            </w:pPr>
            <w:r>
              <w:rPr>
                <w:b/>
              </w:rPr>
              <w:t>Tantárgyelem:</w:t>
            </w:r>
            <w:r>
              <w:t xml:space="preserve"> </w:t>
            </w:r>
            <w:r w:rsidR="00F42849">
              <w:t>kötelező</w:t>
            </w:r>
            <w:r>
              <w:t>.</w:t>
            </w:r>
          </w:p>
        </w:tc>
      </w:tr>
      <w:tr w:rsidR="00C83643" w:rsidTr="00F333BA">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B34B4E">
            <w:pPr>
              <w:spacing w:after="0" w:line="240" w:lineRule="auto"/>
            </w:pPr>
            <w:r>
              <w:rPr>
                <w:b/>
              </w:rPr>
              <w:t>Tárgyfelelős:</w:t>
            </w:r>
            <w:r>
              <w:t xml:space="preserve"> </w:t>
            </w:r>
            <w:r w:rsidR="00B34B4E">
              <w:t>Dr. Kotics József, egyetemi docens</w:t>
            </w:r>
          </w:p>
        </w:tc>
      </w:tr>
      <w:tr w:rsidR="00C83643" w:rsidTr="00F333BA">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B34B4E">
            <w:pPr>
              <w:spacing w:after="0" w:line="240" w:lineRule="auto"/>
            </w:pPr>
            <w:r>
              <w:rPr>
                <w:b/>
              </w:rPr>
              <w:t>Közreműködő oktató(k):</w:t>
            </w:r>
            <w:r>
              <w:t xml:space="preserve"> </w:t>
            </w:r>
            <w:r w:rsidR="00B34B4E">
              <w:t>Dr. Lajos Veronika, egyetemi adjunktus</w:t>
            </w:r>
          </w:p>
        </w:tc>
      </w:tr>
      <w:tr w:rsidR="00C83643" w:rsidTr="00F333BA">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F42849">
            <w:pPr>
              <w:spacing w:after="0" w:line="240" w:lineRule="auto"/>
            </w:pPr>
            <w:r>
              <w:rPr>
                <w:b/>
              </w:rPr>
              <w:t xml:space="preserve">Javasolt félév: </w:t>
            </w:r>
            <w:r w:rsidR="00F42849" w:rsidRPr="00F42849">
              <w:t>1. félév</w:t>
            </w:r>
            <w:r w:rsidR="00F42849">
              <w:rPr>
                <w:b/>
              </w:rPr>
              <w:t xml:space="preserve"> </w:t>
            </w:r>
            <w:r w:rsidR="00F42849">
              <w:t>(</w:t>
            </w:r>
            <w:r>
              <w:t>1Ő)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F42849">
            <w:pPr>
              <w:spacing w:after="0" w:line="240" w:lineRule="auto"/>
            </w:pPr>
            <w:r>
              <w:rPr>
                <w:b/>
              </w:rPr>
              <w:t>Előfeltétel:</w:t>
            </w:r>
            <w:r>
              <w:t xml:space="preserve"> </w:t>
            </w:r>
            <w:r w:rsidR="00F42849">
              <w:t>-</w:t>
            </w:r>
            <w:r>
              <w:t>.</w:t>
            </w:r>
          </w:p>
        </w:tc>
      </w:tr>
      <w:tr w:rsidR="00C83643" w:rsidTr="00F333BA">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F42849">
            <w:pPr>
              <w:spacing w:after="0" w:line="240" w:lineRule="auto"/>
            </w:pPr>
            <w:r>
              <w:rPr>
                <w:b/>
              </w:rPr>
              <w:t>Óraszám/hét:</w:t>
            </w:r>
            <w:r>
              <w:t xml:space="preserve"> </w:t>
            </w:r>
            <w:r w:rsidR="00F42849">
              <w:t>0-2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F42849">
            <w:pPr>
              <w:spacing w:after="0" w:line="240" w:lineRule="auto"/>
            </w:pPr>
            <w:r>
              <w:rPr>
                <w:b/>
              </w:rPr>
              <w:t xml:space="preserve">Számonkérés módja: </w:t>
            </w:r>
            <w:r>
              <w:t>gyakorlati jegy</w:t>
            </w:r>
          </w:p>
        </w:tc>
      </w:tr>
      <w:tr w:rsidR="00C83643" w:rsidTr="00F333BA">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F42849">
            <w:pPr>
              <w:spacing w:after="0" w:line="240" w:lineRule="auto"/>
            </w:pPr>
            <w:r>
              <w:rPr>
                <w:b/>
              </w:rPr>
              <w:t>Kreditpont:</w:t>
            </w:r>
            <w:r>
              <w:t xml:space="preserve"> </w:t>
            </w:r>
            <w:r w:rsidR="00F42849">
              <w:t>2 kredit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F42849">
            <w:pPr>
              <w:spacing w:after="0" w:line="240" w:lineRule="auto"/>
            </w:pPr>
            <w:r>
              <w:rPr>
                <w:b/>
              </w:rPr>
              <w:t>Munkarend:</w:t>
            </w:r>
            <w:r w:rsidR="00F42849">
              <w:t xml:space="preserve"> nappali és</w:t>
            </w:r>
            <w:r>
              <w:t xml:space="preserve"> levelező </w:t>
            </w:r>
          </w:p>
        </w:tc>
      </w:tr>
      <w:tr w:rsidR="00C83643" w:rsidTr="00F333BA">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F333BA">
            <w:pPr>
              <w:spacing w:after="0" w:line="240" w:lineRule="auto"/>
              <w:rPr>
                <w:b/>
              </w:rPr>
            </w:pPr>
            <w:r>
              <w:rPr>
                <w:b/>
              </w:rPr>
              <w:t>Tantárgy feladata és célja:</w:t>
            </w:r>
          </w:p>
          <w:p w:rsidR="00F42849" w:rsidRDefault="00F42849" w:rsidP="00F50978">
            <w:pPr>
              <w:spacing w:after="0"/>
            </w:pPr>
            <w:r>
              <w:t>A kulturális antropológia mesterképzés első kutatásmódszertani szemináriuma a hallgatók egyéni terepmunkára történő konkrét szakmai felkészülését szolgálja. A félév során a hallgatók kutatásmódszertani (pl. terepmunka, írás és terep) szakszövegeket dolgoznak fel és ezzel párhuzamosan egyéni munka, illetve kiscsoportos együttműködés keretében végzik el saját kutatási témájuk konceptualizálását, megfogalmazzák hipotézisüket és kutatási módszerüket, továbbá meghatározzák a téma kidolgozásához nélkülözhetetlen szakirodalmat és elkezdik annak feldolgozását. A tantárgy további célja, hogy a hallgatók képesek legyenek kialakítani egy konstruktív kritikai attitűdöt, fejlesszék a szakmai érvelés gyakorlatát és vitakészségüket. A csoportmunka keretében észrevételeikkel kölcsönösen hozzájáruljanak egymás koncepcióinak sikeres továbbfejlesztéséhez és pontosításához.</w:t>
            </w:r>
          </w:p>
          <w:p w:rsidR="00F42849" w:rsidRDefault="00F42849" w:rsidP="00F333BA">
            <w:pPr>
              <w:spacing w:after="0" w:line="240" w:lineRule="auto"/>
            </w:pPr>
          </w:p>
          <w:p w:rsidR="00C83643" w:rsidRDefault="00C83643" w:rsidP="00F333BA">
            <w:pPr>
              <w:spacing w:after="0" w:line="240" w:lineRule="auto"/>
              <w:rPr>
                <w:b/>
              </w:rPr>
            </w:pPr>
            <w:r>
              <w:rPr>
                <w:b/>
              </w:rPr>
              <w:t>Fejlesztendő kompetenciák:</w:t>
            </w:r>
          </w:p>
          <w:p w:rsidR="00270036" w:rsidRPr="00270036" w:rsidRDefault="00270036" w:rsidP="00270036">
            <w:pPr>
              <w:spacing w:after="0" w:line="240" w:lineRule="auto"/>
            </w:pPr>
            <w:r w:rsidRPr="00270036">
              <w:rPr>
                <w:b/>
                <w:bCs/>
                <w:i/>
                <w:iCs/>
              </w:rPr>
              <w:t xml:space="preserve">a) </w:t>
            </w:r>
            <w:r w:rsidRPr="00270036">
              <w:rPr>
                <w:b/>
                <w:bCs/>
              </w:rPr>
              <w:t>tudása</w:t>
            </w:r>
          </w:p>
          <w:p w:rsidR="007619F3" w:rsidRPr="00270036" w:rsidRDefault="005E53E8" w:rsidP="00270036">
            <w:pPr>
              <w:numPr>
                <w:ilvl w:val="0"/>
                <w:numId w:val="1"/>
              </w:numPr>
              <w:spacing w:after="0" w:line="240" w:lineRule="auto"/>
              <w:jc w:val="left"/>
            </w:pPr>
            <w:r w:rsidRPr="00270036">
              <w:t>Elmélyült ismeretekkel rendelkezik a kulturális antropológia történetéről, elméleteiről és birtokában van a szakmai munkában közvetlenül alkalmazható antropológiai módszertani tudástartalmaknak.</w:t>
            </w:r>
          </w:p>
          <w:p w:rsidR="007619F3" w:rsidRPr="00270036" w:rsidRDefault="005E53E8" w:rsidP="00270036">
            <w:pPr>
              <w:numPr>
                <w:ilvl w:val="0"/>
                <w:numId w:val="1"/>
              </w:numPr>
              <w:spacing w:after="0" w:line="240" w:lineRule="auto"/>
              <w:jc w:val="left"/>
            </w:pPr>
            <w:r w:rsidRPr="00270036">
              <w:t>Elegendő ismeretanyaggal rendelkezik az önállóan megtervezett és megvalósított kutatáshoz vagy tudományos munkához és ismeri a széles körben alkalmazható, elfogadott szakspecifikus problémamegoldó kutatástechnikai eszközöket.</w:t>
            </w:r>
          </w:p>
          <w:p w:rsidR="007619F3" w:rsidRPr="00270036" w:rsidRDefault="005E53E8" w:rsidP="00270036">
            <w:pPr>
              <w:numPr>
                <w:ilvl w:val="0"/>
                <w:numId w:val="1"/>
              </w:numPr>
              <w:spacing w:after="0" w:line="240" w:lineRule="auto"/>
              <w:jc w:val="left"/>
            </w:pPr>
            <w:r w:rsidRPr="00270036">
              <w:t>Átlátja az antropológiai tudás gyakorlati alkalmazásának alapelveit, szakma specifikus praxisát és ennek etikai vonatkozásait a társadalmi döntéshozatali mechanizmusokban.</w:t>
            </w:r>
          </w:p>
          <w:p w:rsidR="007619F3" w:rsidRPr="00270036" w:rsidRDefault="005E53E8" w:rsidP="00270036">
            <w:pPr>
              <w:numPr>
                <w:ilvl w:val="0"/>
                <w:numId w:val="1"/>
              </w:numPr>
              <w:spacing w:after="0" w:line="240" w:lineRule="auto"/>
              <w:jc w:val="left"/>
            </w:pPr>
            <w:r w:rsidRPr="00270036">
              <w:t>Ismeri szakmai tudása folyamatos fejlesztésének és az újabb elméleti és módszertani ismeretek befogadásának mechanizmusait, technikáit és a szakterületével szoros kapcsolatban lévő társtudományok fogalmi rendszereit, lényegi összefüggéseit és főbb gondolkodási irányzatait.</w:t>
            </w:r>
          </w:p>
          <w:p w:rsidR="00270036" w:rsidRPr="00270036" w:rsidRDefault="00270036" w:rsidP="00270036">
            <w:pPr>
              <w:spacing w:after="0" w:line="240" w:lineRule="auto"/>
              <w:jc w:val="left"/>
            </w:pPr>
            <w:r w:rsidRPr="00270036">
              <w:rPr>
                <w:b/>
                <w:bCs/>
                <w:i/>
                <w:iCs/>
              </w:rPr>
              <w:t xml:space="preserve">b) </w:t>
            </w:r>
            <w:r w:rsidRPr="00270036">
              <w:rPr>
                <w:b/>
                <w:bCs/>
              </w:rPr>
              <w:t>képességei</w:t>
            </w:r>
          </w:p>
          <w:p w:rsidR="007619F3" w:rsidRPr="00270036" w:rsidRDefault="005E53E8" w:rsidP="00270036">
            <w:pPr>
              <w:numPr>
                <w:ilvl w:val="0"/>
                <w:numId w:val="2"/>
              </w:numPr>
              <w:spacing w:after="0" w:line="240" w:lineRule="auto"/>
              <w:jc w:val="left"/>
            </w:pPr>
            <w:r w:rsidRPr="00270036">
              <w:t>Képes minőségi és mennyiségi adatok önálló antropológiai terepmunka során szerzett felgyűjtésére, bemutatására, értékelésére, értelmezésére, és magyarázatára, illetve az eredmények közvetítésére más tudományterületek szakemberei számára.</w:t>
            </w:r>
          </w:p>
          <w:p w:rsidR="007619F3" w:rsidRPr="00270036" w:rsidRDefault="005E53E8" w:rsidP="00270036">
            <w:pPr>
              <w:numPr>
                <w:ilvl w:val="0"/>
                <w:numId w:val="2"/>
              </w:numPr>
              <w:spacing w:after="0" w:line="240" w:lineRule="auto"/>
              <w:jc w:val="left"/>
            </w:pPr>
            <w:r w:rsidRPr="00270036">
              <w:t>A kulturális antropológia kurrens elméletei és bevett kutatás-módszertani koncepciói alapján képes szakterületének egyes résztémáiról önálló, szaktudományos formájú összefoglalókat, elemzéseket készíteni.</w:t>
            </w:r>
          </w:p>
          <w:p w:rsidR="007619F3" w:rsidRPr="00270036" w:rsidRDefault="005E53E8" w:rsidP="00270036">
            <w:pPr>
              <w:numPr>
                <w:ilvl w:val="0"/>
                <w:numId w:val="2"/>
              </w:numPr>
              <w:spacing w:after="0" w:line="240" w:lineRule="auto"/>
              <w:jc w:val="left"/>
            </w:pPr>
            <w:r w:rsidRPr="00270036">
              <w:t>Elegendő tudással és jártassággal rendelkezik az antropológiaelmélet és módszertan képesség szintű gyakorlására, kritikai álláspont kialakítására és szükség esetén a holisztikus szemléletet követelő komplex kulturális és társadalmi problémák megoldásában önálló javaslatok kidolgozására.</w:t>
            </w:r>
          </w:p>
          <w:p w:rsidR="007619F3" w:rsidRPr="00270036" w:rsidRDefault="005E53E8" w:rsidP="00270036">
            <w:pPr>
              <w:numPr>
                <w:ilvl w:val="0"/>
                <w:numId w:val="2"/>
              </w:numPr>
              <w:spacing w:after="0" w:line="240" w:lineRule="auto"/>
              <w:jc w:val="left"/>
            </w:pPr>
            <w:r w:rsidRPr="00270036">
              <w:t>A munkafolyamatokat képes a felkészültségének megfelelő szinten irányítani, eredményesen együttműködik az intézményen belüli és kívüli partnerekkel.</w:t>
            </w:r>
          </w:p>
          <w:p w:rsidR="007619F3" w:rsidRPr="00270036" w:rsidRDefault="005E53E8" w:rsidP="00270036">
            <w:pPr>
              <w:numPr>
                <w:ilvl w:val="0"/>
                <w:numId w:val="2"/>
              </w:numPr>
              <w:spacing w:after="0" w:line="240" w:lineRule="auto"/>
              <w:jc w:val="left"/>
            </w:pPr>
            <w:r w:rsidRPr="00270036">
              <w:t>Szakmai elkötelezettségéből rendelkezik együttműködési, kezdeményező, valamint döntéshozó készséggel, képes a változásokhoz alkalmazkodni, adaptációs koncepcióját el tudja fogadtatni munkatársaival és egyéb partnereivel is.</w:t>
            </w:r>
          </w:p>
          <w:p w:rsidR="007619F3" w:rsidRPr="00270036" w:rsidRDefault="005E53E8" w:rsidP="00270036">
            <w:pPr>
              <w:numPr>
                <w:ilvl w:val="0"/>
                <w:numId w:val="2"/>
              </w:numPr>
              <w:spacing w:after="0" w:line="240" w:lineRule="auto"/>
              <w:jc w:val="left"/>
            </w:pPr>
            <w:r w:rsidRPr="00270036">
              <w:t>Képes az intézménye számára befogadható és végrehajtható projektek felkutatására, a pályázati és végrehajtási munka irányítására, az eredményes együttműködésre a partnerekkel a tudásterület oktatásában, a hazai állami-önkormányzati, valamint civil-nonprofit szférában.</w:t>
            </w:r>
          </w:p>
          <w:p w:rsidR="00270036" w:rsidRPr="00270036" w:rsidRDefault="00270036" w:rsidP="00270036">
            <w:pPr>
              <w:spacing w:after="0" w:line="240" w:lineRule="auto"/>
              <w:jc w:val="left"/>
            </w:pPr>
            <w:r w:rsidRPr="00270036">
              <w:rPr>
                <w:b/>
                <w:bCs/>
                <w:i/>
                <w:iCs/>
              </w:rPr>
              <w:t xml:space="preserve">c) </w:t>
            </w:r>
            <w:r w:rsidRPr="00270036">
              <w:rPr>
                <w:b/>
                <w:bCs/>
              </w:rPr>
              <w:t>attitűdje</w:t>
            </w:r>
          </w:p>
          <w:p w:rsidR="007619F3" w:rsidRPr="00270036" w:rsidRDefault="005E53E8" w:rsidP="00270036">
            <w:pPr>
              <w:numPr>
                <w:ilvl w:val="0"/>
                <w:numId w:val="3"/>
              </w:numPr>
              <w:spacing w:after="0" w:line="240" w:lineRule="auto"/>
              <w:jc w:val="left"/>
            </w:pPr>
            <w:r w:rsidRPr="00270036">
              <w:t xml:space="preserve">A kulturális antropológia gyakorlati társadalomtudományi értékéből következően elkötelezetten </w:t>
            </w:r>
            <w:r w:rsidRPr="00270036">
              <w:lastRenderedPageBreak/>
              <w:t>és aktívan támogat munkahelyi pozíciójában és a közéletben minden olyan törekvést, amely a társadalmi esélyegyenlőség javítását szolgálja.</w:t>
            </w:r>
          </w:p>
          <w:p w:rsidR="007619F3" w:rsidRPr="00270036" w:rsidRDefault="005E53E8" w:rsidP="00270036">
            <w:pPr>
              <w:numPr>
                <w:ilvl w:val="0"/>
                <w:numId w:val="3"/>
              </w:numPr>
              <w:spacing w:after="0" w:line="240" w:lineRule="auto"/>
              <w:jc w:val="left"/>
            </w:pPr>
            <w:r w:rsidRPr="00270036">
              <w:t>Nyitott és elkötelezett a nemzetközi szakmai kapcsolatok ápolásának minden együttműködési formája iránt és kritikusan ítéli meg a társadalomtudományok nyitottságát és sokszínűségét korlátozni igyekvő tudományos, gyakorlati, jogi vagy politikai törekvéseket.</w:t>
            </w:r>
          </w:p>
          <w:p w:rsidR="007619F3" w:rsidRPr="00270036" w:rsidRDefault="005E53E8" w:rsidP="00270036">
            <w:pPr>
              <w:numPr>
                <w:ilvl w:val="0"/>
                <w:numId w:val="3"/>
              </w:numPr>
              <w:spacing w:after="0" w:line="240" w:lineRule="auto"/>
              <w:jc w:val="left"/>
            </w:pPr>
            <w:r w:rsidRPr="00270036">
              <w:t>A társadalmi és kulturális másság eseteit a semleges kutatói pozícióból következő általános elvárásoknak megfelelően toleránsan és empatikusan kezeli.</w:t>
            </w:r>
          </w:p>
          <w:p w:rsidR="007619F3" w:rsidRPr="00270036" w:rsidRDefault="005E53E8" w:rsidP="00270036">
            <w:pPr>
              <w:numPr>
                <w:ilvl w:val="0"/>
                <w:numId w:val="3"/>
              </w:numPr>
              <w:spacing w:after="0" w:line="240" w:lineRule="auto"/>
              <w:jc w:val="left"/>
            </w:pPr>
            <w:r w:rsidRPr="00270036">
              <w:t>A kulturális antropológiai gyakorlat révén szerzett, a kultúrát saját feltételei szerint belülről megértő tapasztalatait a társtudományok és az érdeklődő közvélemény felé hitelesen közvetíti.</w:t>
            </w:r>
          </w:p>
          <w:p w:rsidR="007619F3" w:rsidRPr="00270036" w:rsidRDefault="005E53E8" w:rsidP="00270036">
            <w:pPr>
              <w:numPr>
                <w:ilvl w:val="0"/>
                <w:numId w:val="3"/>
              </w:numPr>
              <w:spacing w:after="0" w:line="240" w:lineRule="auto"/>
              <w:jc w:val="left"/>
            </w:pPr>
            <w:r w:rsidRPr="00270036">
              <w:t>A kulturális antropológia nemzetközileg meghatározott kutatásetikai normáit betartja.</w:t>
            </w:r>
          </w:p>
          <w:p w:rsidR="00270036" w:rsidRPr="00270036" w:rsidRDefault="00270036" w:rsidP="00270036">
            <w:pPr>
              <w:spacing w:after="0" w:line="240" w:lineRule="auto"/>
              <w:jc w:val="left"/>
            </w:pPr>
            <w:r w:rsidRPr="00270036">
              <w:rPr>
                <w:b/>
                <w:bCs/>
                <w:i/>
                <w:iCs/>
              </w:rPr>
              <w:t xml:space="preserve">d) </w:t>
            </w:r>
            <w:r w:rsidRPr="00270036">
              <w:rPr>
                <w:b/>
                <w:bCs/>
              </w:rPr>
              <w:t>autonómiája és felelőssége</w:t>
            </w:r>
          </w:p>
          <w:p w:rsidR="007619F3" w:rsidRPr="00270036" w:rsidRDefault="005E53E8" w:rsidP="00270036">
            <w:pPr>
              <w:numPr>
                <w:ilvl w:val="0"/>
                <w:numId w:val="4"/>
              </w:numPr>
              <w:spacing w:after="0" w:line="240" w:lineRule="auto"/>
              <w:jc w:val="left"/>
            </w:pPr>
            <w:r w:rsidRPr="00270036">
              <w:t>Önállóan, bátran és felelősségteljesen vesz részt kulturális antropológiai szakmai koncepciók kidolgozásában, megvitatásában és megvalósításában.</w:t>
            </w:r>
          </w:p>
          <w:p w:rsidR="007619F3" w:rsidRPr="00270036" w:rsidRDefault="005E53E8" w:rsidP="00270036">
            <w:pPr>
              <w:numPr>
                <w:ilvl w:val="0"/>
                <w:numId w:val="4"/>
              </w:numPr>
              <w:spacing w:after="0" w:line="240" w:lineRule="auto"/>
              <w:jc w:val="left"/>
            </w:pPr>
            <w:r w:rsidRPr="00270036">
              <w:t>Rendszeresen kezdeményez, vezet és formál kulturális antropológia projekteket.</w:t>
            </w:r>
          </w:p>
          <w:p w:rsidR="007619F3" w:rsidRPr="00270036" w:rsidRDefault="005E53E8" w:rsidP="00270036">
            <w:pPr>
              <w:numPr>
                <w:ilvl w:val="0"/>
                <w:numId w:val="4"/>
              </w:numPr>
              <w:spacing w:after="0" w:line="240" w:lineRule="auto"/>
              <w:jc w:val="left"/>
            </w:pPr>
            <w:r w:rsidRPr="00270036">
              <w:t>Legjobb tudása szerint, elkötelezetten szolgálja és képviseli a kulturális antropológia szakmai érdekeit.</w:t>
            </w:r>
          </w:p>
          <w:p w:rsidR="007619F3" w:rsidRPr="00270036" w:rsidRDefault="005E53E8" w:rsidP="00270036">
            <w:pPr>
              <w:numPr>
                <w:ilvl w:val="0"/>
                <w:numId w:val="4"/>
              </w:numPr>
              <w:spacing w:after="0" w:line="240" w:lineRule="auto"/>
              <w:jc w:val="left"/>
            </w:pPr>
            <w:r w:rsidRPr="00270036">
              <w:t>Munkavégzési és társadalmi konfliktushelyzetekben önállóan és felelősen hozza meg döntéseit, következetesen képviselve a rábízottak érdekeit.</w:t>
            </w:r>
          </w:p>
          <w:p w:rsidR="007619F3" w:rsidRPr="00270036" w:rsidRDefault="005E53E8" w:rsidP="00270036">
            <w:pPr>
              <w:numPr>
                <w:ilvl w:val="0"/>
                <w:numId w:val="4"/>
              </w:numPr>
              <w:spacing w:after="0" w:line="240" w:lineRule="auto"/>
              <w:jc w:val="left"/>
            </w:pPr>
            <w:r w:rsidRPr="00270036">
              <w:t>Önállóan és felelősségteljesen vesz részt a szervezeti és a társadalmi normatív rendszerek korszerűsítésében és továbbfejlesztésében, következetesen képviselve a társadalmi egyenlőség elveit.</w:t>
            </w:r>
          </w:p>
          <w:p w:rsidR="00C83643" w:rsidRDefault="005E53E8" w:rsidP="00270036">
            <w:pPr>
              <w:numPr>
                <w:ilvl w:val="0"/>
                <w:numId w:val="4"/>
              </w:numPr>
              <w:spacing w:after="0" w:line="240" w:lineRule="auto"/>
              <w:jc w:val="left"/>
            </w:pPr>
            <w:r w:rsidRPr="00270036">
              <w:t>Tevékenységének szerves részeként reflektál saját személyiségére, ennek a kutatás szempontjából szerepet játszó következményeire, valamint társadalmi és kulturális beágyazottságára, továbbá kalkulál szakmai, munkahelyi, intézményi érdekei és a tanulmányozott közösség érdekei közötti esetleges eltérésekkel.</w:t>
            </w:r>
          </w:p>
        </w:tc>
      </w:tr>
      <w:tr w:rsidR="00C83643" w:rsidTr="00F333BA">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F333BA">
            <w:pPr>
              <w:spacing w:after="0" w:line="240" w:lineRule="auto"/>
            </w:pPr>
            <w:r>
              <w:rPr>
                <w:b/>
              </w:rPr>
              <w:lastRenderedPageBreak/>
              <w:t>Tantárgy tematikus leírása:</w:t>
            </w:r>
          </w:p>
        </w:tc>
      </w:tr>
      <w:tr w:rsidR="002023B8" w:rsidTr="00B7300E">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23B8" w:rsidRDefault="002023B8" w:rsidP="00F333BA">
            <w:pPr>
              <w:spacing w:after="0" w:line="240" w:lineRule="auto"/>
              <w:rPr>
                <w:b/>
                <w:i/>
              </w:rPr>
            </w:pPr>
            <w:r>
              <w:rPr>
                <w:b/>
                <w:i/>
              </w:rPr>
              <w:t>Gyakorlat:</w:t>
            </w:r>
          </w:p>
          <w:p w:rsidR="002023B8" w:rsidRPr="002023B8" w:rsidRDefault="002023B8" w:rsidP="002023B8">
            <w:pPr>
              <w:numPr>
                <w:ilvl w:val="0"/>
                <w:numId w:val="5"/>
              </w:numPr>
              <w:spacing w:after="0" w:line="240" w:lineRule="auto"/>
            </w:pPr>
            <w:r w:rsidRPr="002023B8">
              <w:t>Bevezetés: az antropológiai kutatás természete</w:t>
            </w:r>
          </w:p>
          <w:p w:rsidR="002023B8" w:rsidRPr="002023B8" w:rsidRDefault="002023B8" w:rsidP="002023B8">
            <w:pPr>
              <w:numPr>
                <w:ilvl w:val="0"/>
                <w:numId w:val="5"/>
              </w:numPr>
              <w:spacing w:after="0" w:line="240" w:lineRule="auto"/>
            </w:pPr>
            <w:r w:rsidRPr="002023B8">
              <w:t>Szakszöveg feldolgozása – kutatási témák tárgyalása</w:t>
            </w:r>
          </w:p>
          <w:p w:rsidR="002023B8" w:rsidRPr="002023B8" w:rsidRDefault="002023B8" w:rsidP="002023B8">
            <w:pPr>
              <w:numPr>
                <w:ilvl w:val="0"/>
                <w:numId w:val="5"/>
              </w:numPr>
              <w:spacing w:after="0" w:line="240" w:lineRule="auto"/>
            </w:pPr>
            <w:r w:rsidRPr="002023B8">
              <w:t>Szakszöveg feldolgozása – kutatási témák tárgyalása</w:t>
            </w:r>
          </w:p>
          <w:p w:rsidR="002023B8" w:rsidRPr="002023B8" w:rsidRDefault="002023B8" w:rsidP="002023B8">
            <w:pPr>
              <w:numPr>
                <w:ilvl w:val="0"/>
                <w:numId w:val="5"/>
              </w:numPr>
              <w:spacing w:after="0" w:line="240" w:lineRule="auto"/>
            </w:pPr>
            <w:r w:rsidRPr="002023B8">
              <w:t xml:space="preserve">Szakszöveg feldolgozása – konceptualizáció </w:t>
            </w:r>
          </w:p>
          <w:p w:rsidR="002023B8" w:rsidRPr="002023B8" w:rsidRDefault="002023B8" w:rsidP="002023B8">
            <w:pPr>
              <w:numPr>
                <w:ilvl w:val="0"/>
                <w:numId w:val="5"/>
              </w:numPr>
              <w:spacing w:after="0" w:line="240" w:lineRule="auto"/>
            </w:pPr>
            <w:r w:rsidRPr="002023B8">
              <w:t>Szakszöveg feldolgozása – konceptualizáció</w:t>
            </w:r>
          </w:p>
          <w:p w:rsidR="002023B8" w:rsidRPr="002023B8" w:rsidRDefault="002023B8" w:rsidP="002023B8">
            <w:pPr>
              <w:numPr>
                <w:ilvl w:val="0"/>
                <w:numId w:val="5"/>
              </w:numPr>
              <w:spacing w:after="0" w:line="240" w:lineRule="auto"/>
            </w:pPr>
            <w:r w:rsidRPr="002023B8">
              <w:t>Szakszöveg feldolgozása – kutatási kérdések és módszerek megvitatása</w:t>
            </w:r>
          </w:p>
          <w:p w:rsidR="002023B8" w:rsidRPr="002023B8" w:rsidRDefault="002023B8" w:rsidP="002023B8">
            <w:pPr>
              <w:numPr>
                <w:ilvl w:val="0"/>
                <w:numId w:val="5"/>
              </w:numPr>
              <w:spacing w:after="0" w:line="240" w:lineRule="auto"/>
            </w:pPr>
            <w:r w:rsidRPr="002023B8">
              <w:t xml:space="preserve">Szakszöveg feldolgozása – kutatási kérdések és módszerek megvitatása </w:t>
            </w:r>
          </w:p>
          <w:p w:rsidR="002023B8" w:rsidRPr="002023B8" w:rsidRDefault="002023B8" w:rsidP="002023B8">
            <w:pPr>
              <w:numPr>
                <w:ilvl w:val="0"/>
                <w:numId w:val="5"/>
              </w:numPr>
              <w:spacing w:after="0" w:line="240" w:lineRule="auto"/>
            </w:pPr>
            <w:r w:rsidRPr="002023B8">
              <w:t>Szakszöveg feldolgozása – hipotézisalkotás</w:t>
            </w:r>
          </w:p>
          <w:p w:rsidR="002023B8" w:rsidRPr="002023B8" w:rsidRDefault="002023B8" w:rsidP="002023B8">
            <w:pPr>
              <w:numPr>
                <w:ilvl w:val="0"/>
                <w:numId w:val="5"/>
              </w:numPr>
              <w:spacing w:after="0" w:line="240" w:lineRule="auto"/>
            </w:pPr>
            <w:r w:rsidRPr="002023B8">
              <w:t xml:space="preserve">Szakszöveg feldolgozása – hipotézisalkotás </w:t>
            </w:r>
          </w:p>
          <w:p w:rsidR="002023B8" w:rsidRPr="002023B8" w:rsidRDefault="002023B8" w:rsidP="002023B8">
            <w:pPr>
              <w:numPr>
                <w:ilvl w:val="0"/>
                <w:numId w:val="5"/>
              </w:numPr>
              <w:spacing w:after="0" w:line="240" w:lineRule="auto"/>
            </w:pPr>
            <w:r w:rsidRPr="002023B8">
              <w:t>Szakirodalmi háttér összegyűjtése és bemutatása</w:t>
            </w:r>
          </w:p>
          <w:p w:rsidR="002023B8" w:rsidRPr="002023B8" w:rsidRDefault="002023B8" w:rsidP="002023B8">
            <w:pPr>
              <w:numPr>
                <w:ilvl w:val="0"/>
                <w:numId w:val="5"/>
              </w:numPr>
              <w:spacing w:after="0" w:line="240" w:lineRule="auto"/>
            </w:pPr>
            <w:r w:rsidRPr="002023B8">
              <w:t>Szakirodalmi háttér összegyűjtése és bemutatása</w:t>
            </w:r>
          </w:p>
          <w:p w:rsidR="002023B8" w:rsidRPr="002023B8" w:rsidRDefault="002023B8" w:rsidP="002023B8">
            <w:pPr>
              <w:numPr>
                <w:ilvl w:val="0"/>
                <w:numId w:val="5"/>
              </w:numPr>
              <w:spacing w:after="0" w:line="240" w:lineRule="auto"/>
            </w:pPr>
            <w:r w:rsidRPr="002023B8">
              <w:t>Egyéni terepmunka tervek előadása és megvitatása</w:t>
            </w:r>
          </w:p>
          <w:p w:rsidR="002023B8" w:rsidRDefault="002023B8" w:rsidP="002023B8">
            <w:pPr>
              <w:numPr>
                <w:ilvl w:val="0"/>
                <w:numId w:val="5"/>
              </w:numPr>
              <w:spacing w:after="0" w:line="240" w:lineRule="auto"/>
            </w:pPr>
            <w:r w:rsidRPr="002023B8">
              <w:t>Egyéni terepmunka tervek előadása és megvitatása</w:t>
            </w:r>
          </w:p>
          <w:p w:rsidR="002023B8" w:rsidRDefault="002023B8" w:rsidP="002023B8">
            <w:pPr>
              <w:numPr>
                <w:ilvl w:val="0"/>
                <w:numId w:val="5"/>
              </w:numPr>
              <w:spacing w:after="0" w:line="240" w:lineRule="auto"/>
            </w:pPr>
            <w:r w:rsidRPr="002023B8">
              <w:t>A terepmunka megszervezésének kérdései</w:t>
            </w:r>
          </w:p>
        </w:tc>
      </w:tr>
      <w:tr w:rsidR="00C83643" w:rsidTr="00F333BA">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23B8" w:rsidRDefault="002023B8" w:rsidP="002023B8">
            <w:pPr>
              <w:spacing w:after="0" w:line="240" w:lineRule="auto"/>
              <w:rPr>
                <w:b/>
              </w:rPr>
            </w:pPr>
            <w:r>
              <w:rPr>
                <w:b/>
              </w:rPr>
              <w:t>Félévközi számonkérés módja és értékelése:</w:t>
            </w:r>
          </w:p>
          <w:p w:rsidR="002023B8" w:rsidRDefault="002023B8" w:rsidP="002023B8">
            <w:pPr>
              <w:spacing w:after="0" w:line="240" w:lineRule="auto"/>
            </w:pPr>
            <w:r>
              <w:t xml:space="preserve">Félév közben: egy vagy két prezentáció (egy szabadon választott szakirodalom feldolgozása és bemutatása, két másik szakszöveg opponálása); emellett </w:t>
            </w:r>
            <w:r w:rsidR="00996280">
              <w:t xml:space="preserve">a hallgatók </w:t>
            </w:r>
            <w:r>
              <w:t>elkészítik az egyéni kutatási tervek adott részét, és azt rendszeresen megvitatják a csoporttársaikkal.</w:t>
            </w:r>
          </w:p>
          <w:p w:rsidR="002023B8" w:rsidRDefault="002023B8" w:rsidP="002023B8">
            <w:pPr>
              <w:spacing w:after="0" w:line="240" w:lineRule="auto"/>
              <w:rPr>
                <w:b/>
              </w:rPr>
            </w:pPr>
            <w:r>
              <w:rPr>
                <w:b/>
              </w:rPr>
              <w:t>Gyakorlati jegy teljesítésének módja, értékelése:</w:t>
            </w:r>
          </w:p>
          <w:p w:rsidR="00C83643" w:rsidRPr="002023B8" w:rsidRDefault="002023B8" w:rsidP="002023B8">
            <w:pPr>
              <w:spacing w:after="0" w:line="240" w:lineRule="auto"/>
            </w:pPr>
            <w:r>
              <w:t>A prezentáció elkészítése és sikeres bemutatása (20%), aktív részvétel az órai munkában (a kötelező szakszövegek értő feldolgozása, opponálási tevékenység, részvétel – 40%) és egyéni kutatási terv (40%).</w:t>
            </w:r>
          </w:p>
        </w:tc>
      </w:tr>
      <w:tr w:rsidR="00C83643" w:rsidTr="00F333BA">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643" w:rsidRDefault="00C83643" w:rsidP="00F333BA">
            <w:pPr>
              <w:spacing w:after="0" w:line="240" w:lineRule="auto"/>
              <w:rPr>
                <w:b/>
              </w:rPr>
            </w:pPr>
            <w:r>
              <w:rPr>
                <w:b/>
              </w:rPr>
              <w:t>Kötelező irodalom:</w:t>
            </w:r>
          </w:p>
          <w:p w:rsidR="002023B8" w:rsidRPr="002023B8" w:rsidRDefault="002023B8" w:rsidP="002023B8">
            <w:pPr>
              <w:spacing w:after="0" w:line="240" w:lineRule="auto"/>
              <w:jc w:val="left"/>
            </w:pPr>
            <w:r w:rsidRPr="002023B8">
              <w:t>Bakó Boglárka</w:t>
            </w:r>
          </w:p>
          <w:p w:rsidR="002023B8" w:rsidRPr="002023B8" w:rsidRDefault="002023B8" w:rsidP="002023B8">
            <w:pPr>
              <w:spacing w:after="0" w:line="240" w:lineRule="auto"/>
              <w:jc w:val="left"/>
            </w:pPr>
            <w:r w:rsidRPr="002023B8">
              <w:t xml:space="preserve">2004 A terepmunka értelm(ezés)e, avagy az etikusság határán. </w:t>
            </w:r>
            <w:r w:rsidRPr="002023B8">
              <w:rPr>
                <w:i/>
              </w:rPr>
              <w:t>Kisebbségkutatás</w:t>
            </w:r>
            <w:r w:rsidRPr="002023B8">
              <w:t xml:space="preserve"> 2004/3. </w:t>
            </w:r>
            <w:hyperlink r:id="rId8" w:history="1">
              <w:r w:rsidRPr="002023B8">
                <w:rPr>
                  <w:rStyle w:val="Hiperhivatkozs"/>
                </w:rPr>
                <w:t>http://epa.oszk.hu/00400/00462/00023/pdf/terep03.pdf</w:t>
              </w:r>
            </w:hyperlink>
            <w:r w:rsidRPr="002023B8">
              <w:t xml:space="preserve"> </w:t>
            </w:r>
          </w:p>
          <w:p w:rsidR="002023B8" w:rsidRPr="002023B8" w:rsidRDefault="002023B8" w:rsidP="002023B8">
            <w:pPr>
              <w:spacing w:after="0" w:line="240" w:lineRule="auto"/>
              <w:jc w:val="left"/>
            </w:pPr>
            <w:r w:rsidRPr="002023B8">
              <w:t>Biczó Gábor</w:t>
            </w:r>
          </w:p>
          <w:p w:rsidR="002023B8" w:rsidRPr="002023B8" w:rsidRDefault="003371A5" w:rsidP="002023B8">
            <w:pPr>
              <w:spacing w:after="0" w:line="240" w:lineRule="auto"/>
              <w:jc w:val="left"/>
            </w:pPr>
            <w:r>
              <w:t>2017 Hol van a „másik”</w:t>
            </w:r>
            <w:r w:rsidR="002023B8" w:rsidRPr="002023B8">
              <w:t xml:space="preserve">? A terepparadigma kritikai antropológiai elemzése. </w:t>
            </w:r>
            <w:r w:rsidR="002023B8" w:rsidRPr="002023B8">
              <w:rPr>
                <w:i/>
              </w:rPr>
              <w:t>ETHNO-LORE: A MAGYAR TUDOMÁNYOS AKADÉMIA NÉPRAJZI KUTATÓINTÉZETÉNEK ÉVKÖNYVE</w:t>
            </w:r>
            <w:r w:rsidR="002023B8" w:rsidRPr="002023B8">
              <w:t xml:space="preserve">. XXXIV: 147–180. </w:t>
            </w:r>
            <w:r w:rsidR="002023B8" w:rsidRPr="002023B8">
              <w:lastRenderedPageBreak/>
              <w:t>ISSN: 1787-9396</w:t>
            </w:r>
          </w:p>
          <w:p w:rsidR="002023B8" w:rsidRPr="002023B8" w:rsidRDefault="002023B8" w:rsidP="002023B8">
            <w:pPr>
              <w:spacing w:after="0" w:line="240" w:lineRule="auto"/>
              <w:jc w:val="left"/>
            </w:pPr>
            <w:r w:rsidRPr="002023B8">
              <w:t>Feischmidt Margit</w:t>
            </w:r>
          </w:p>
          <w:p w:rsidR="002023B8" w:rsidRPr="002023B8" w:rsidRDefault="002023B8" w:rsidP="002023B8">
            <w:pPr>
              <w:spacing w:after="0" w:line="240" w:lineRule="auto"/>
              <w:jc w:val="left"/>
            </w:pPr>
            <w:r w:rsidRPr="002023B8">
              <w:t xml:space="preserve">2007 Az antropológiai terepmunka módszerei. In Kovács Éva (szerk.): </w:t>
            </w:r>
            <w:r w:rsidRPr="002023B8">
              <w:rPr>
                <w:i/>
              </w:rPr>
              <w:t>Közösségtanulmány</w:t>
            </w:r>
            <w:r w:rsidRPr="002023B8">
              <w:t>.</w:t>
            </w:r>
            <w:r w:rsidRPr="002023B8">
              <w:rPr>
                <w:i/>
              </w:rPr>
              <w:t xml:space="preserve"> Módszertani jegyzet.</w:t>
            </w:r>
            <w:r w:rsidRPr="002023B8">
              <w:t xml:space="preserve"> Budapest–Pécs, 223–233.</w:t>
            </w:r>
          </w:p>
          <w:p w:rsidR="002023B8" w:rsidRPr="002023B8" w:rsidRDefault="00274259" w:rsidP="002023B8">
            <w:pPr>
              <w:spacing w:after="0" w:line="240" w:lineRule="auto"/>
              <w:jc w:val="left"/>
            </w:pPr>
            <w:hyperlink r:id="rId9" w:history="1">
              <w:r w:rsidR="002023B8" w:rsidRPr="002023B8">
                <w:rPr>
                  <w:rStyle w:val="Hiperhivatkozs"/>
                </w:rPr>
                <w:t>http://kisebbsegkutato.tk.mta.hu/uploads/files/olvasoszoba/regiokonyvek/kozossegtanulmany.pdf</w:t>
              </w:r>
            </w:hyperlink>
          </w:p>
          <w:p w:rsidR="002023B8" w:rsidRPr="002023B8" w:rsidRDefault="002023B8" w:rsidP="002023B8">
            <w:pPr>
              <w:spacing w:after="0" w:line="240" w:lineRule="auto"/>
              <w:jc w:val="left"/>
            </w:pPr>
            <w:r w:rsidRPr="002023B8">
              <w:t xml:space="preserve">Geertz, Clifford </w:t>
            </w:r>
          </w:p>
          <w:p w:rsidR="002023B8" w:rsidRPr="002023B8" w:rsidRDefault="002023B8" w:rsidP="002023B8">
            <w:pPr>
              <w:spacing w:after="0" w:line="240" w:lineRule="auto"/>
              <w:jc w:val="left"/>
            </w:pPr>
            <w:r w:rsidRPr="002023B8">
              <w:t xml:space="preserve">2001 Az antropológia és az írás helyszíne. In Uő: </w:t>
            </w:r>
            <w:r w:rsidRPr="002023B8">
              <w:rPr>
                <w:i/>
              </w:rPr>
              <w:t>Az értelmezés hatalma</w:t>
            </w:r>
            <w:r w:rsidRPr="002023B8">
              <w:t>. Budapest: Osiris-Századvég, 397–415.</w:t>
            </w:r>
          </w:p>
          <w:p w:rsidR="002023B8" w:rsidRPr="002023B8" w:rsidRDefault="002023B8" w:rsidP="002023B8">
            <w:pPr>
              <w:spacing w:after="0" w:line="240" w:lineRule="auto"/>
              <w:jc w:val="left"/>
            </w:pPr>
            <w:r w:rsidRPr="002023B8">
              <w:t xml:space="preserve">Greschke, Heike Mónika </w:t>
            </w:r>
          </w:p>
          <w:p w:rsidR="002023B8" w:rsidRPr="002023B8" w:rsidRDefault="002023B8" w:rsidP="002023B8">
            <w:pPr>
              <w:spacing w:after="0" w:line="240" w:lineRule="auto"/>
              <w:jc w:val="left"/>
            </w:pPr>
            <w:r w:rsidRPr="002023B8">
              <w:t xml:space="preserve">2014 „Beléptem?” Etnometodológiai reflexiók egy plurilokális etnográfiai kutatásról. </w:t>
            </w:r>
            <w:r w:rsidRPr="002023B8">
              <w:rPr>
                <w:i/>
              </w:rPr>
              <w:t>Kultúra és Közösség</w:t>
            </w:r>
            <w:r w:rsidRPr="002023B8">
              <w:t>, 2014/3. 77–94.</w:t>
            </w:r>
          </w:p>
          <w:p w:rsidR="002023B8" w:rsidRPr="002023B8" w:rsidRDefault="00274259" w:rsidP="002023B8">
            <w:pPr>
              <w:spacing w:after="0" w:line="240" w:lineRule="auto"/>
              <w:jc w:val="left"/>
            </w:pPr>
            <w:hyperlink r:id="rId10" w:history="1">
              <w:r w:rsidR="002023B8" w:rsidRPr="002023B8">
                <w:rPr>
                  <w:rStyle w:val="Hiperhivatkozs"/>
                </w:rPr>
                <w:t>http://epa.oszk.hu/02900/02936/00018/pdf/EPA02936_kultura_es_kozosseg_2014_03_077-094.pdf</w:t>
              </w:r>
            </w:hyperlink>
          </w:p>
          <w:p w:rsidR="002023B8" w:rsidRPr="002023B8" w:rsidRDefault="002023B8" w:rsidP="002023B8">
            <w:pPr>
              <w:spacing w:after="0" w:line="240" w:lineRule="auto"/>
              <w:jc w:val="left"/>
            </w:pPr>
            <w:r w:rsidRPr="002023B8">
              <w:t xml:space="preserve">N. Kovács Tímea </w:t>
            </w:r>
          </w:p>
          <w:p w:rsidR="002023B8" w:rsidRPr="002023B8" w:rsidRDefault="002023B8" w:rsidP="002023B8">
            <w:pPr>
              <w:spacing w:after="0" w:line="240" w:lineRule="auto"/>
              <w:jc w:val="left"/>
            </w:pPr>
            <w:r w:rsidRPr="002023B8">
              <w:t xml:space="preserve">2007 Az írás és az antropológiai szövegek. In Uő: </w:t>
            </w:r>
            <w:r w:rsidRPr="002023B8">
              <w:rPr>
                <w:i/>
              </w:rPr>
              <w:t>Helyek, kultúrák, szövegek: a kulturális idegenség reprezentációja</w:t>
            </w:r>
            <w:r w:rsidRPr="002023B8">
              <w:t>. Debrecen: Csokonai Kiadó, 143–163.</w:t>
            </w:r>
          </w:p>
          <w:p w:rsidR="002023B8" w:rsidRPr="002023B8" w:rsidRDefault="002023B8" w:rsidP="002023B8">
            <w:pPr>
              <w:spacing w:after="0" w:line="240" w:lineRule="auto"/>
              <w:jc w:val="left"/>
            </w:pPr>
            <w:r w:rsidRPr="002023B8">
              <w:t xml:space="preserve">2012 Dzsungelek, sivatagok, magas sarkú cipők. Női generációk egy „férfi” tudományban. In Garami András, Mekis D. János, Németh Ákos (szerk.): </w:t>
            </w:r>
            <w:r w:rsidRPr="002023B8">
              <w:rPr>
                <w:i/>
              </w:rPr>
              <w:t>Nemzedéki narratívák a kultúratudományokban</w:t>
            </w:r>
            <w:r w:rsidRPr="002023B8">
              <w:t xml:space="preserve">. Kijárat Kiadó, 199–211. </w:t>
            </w:r>
          </w:p>
          <w:p w:rsidR="002023B8" w:rsidRPr="002023B8" w:rsidRDefault="002023B8" w:rsidP="002023B8">
            <w:pPr>
              <w:spacing w:after="0" w:line="240" w:lineRule="auto"/>
              <w:jc w:val="left"/>
            </w:pPr>
            <w:r w:rsidRPr="002023B8">
              <w:t>Marcus, George</w:t>
            </w:r>
          </w:p>
          <w:p w:rsidR="002023B8" w:rsidRPr="002023B8" w:rsidRDefault="002023B8" w:rsidP="002023B8">
            <w:pPr>
              <w:spacing w:after="0" w:line="240" w:lineRule="auto"/>
              <w:jc w:val="left"/>
            </w:pPr>
            <w:r w:rsidRPr="002023B8">
              <w:t xml:space="preserve">1995 Ethnography In/of the World System: The Emergence of Multi-Sited Ethnography. </w:t>
            </w:r>
            <w:r w:rsidRPr="002023B8">
              <w:rPr>
                <w:i/>
              </w:rPr>
              <w:t>Annual Review of Anthropology</w:t>
            </w:r>
            <w:r w:rsidRPr="002023B8">
              <w:t>, Vol. 24. 95–117.</w:t>
            </w:r>
          </w:p>
          <w:p w:rsidR="002023B8" w:rsidRPr="002023B8" w:rsidRDefault="002023B8" w:rsidP="002023B8">
            <w:pPr>
              <w:spacing w:after="0" w:line="240" w:lineRule="auto"/>
              <w:jc w:val="left"/>
            </w:pPr>
            <w:r w:rsidRPr="002023B8">
              <w:t xml:space="preserve">Vörös Miklós és Frida Balázs </w:t>
            </w:r>
          </w:p>
          <w:p w:rsidR="002023B8" w:rsidRPr="002023B8" w:rsidRDefault="002023B8" w:rsidP="002023B8">
            <w:pPr>
              <w:spacing w:after="0" w:line="240" w:lineRule="auto"/>
              <w:jc w:val="left"/>
            </w:pPr>
            <w:r w:rsidRPr="002023B8">
              <w:t xml:space="preserve">2004 Az antropológiai résztvevő megfigyelés története. In Letenyei László (szerk.): </w:t>
            </w:r>
            <w:r w:rsidRPr="002023B8">
              <w:rPr>
                <w:i/>
              </w:rPr>
              <w:t>Településkutatás II. Szöveggyűjtemény.</w:t>
            </w:r>
            <w:r w:rsidRPr="002023B8">
              <w:t xml:space="preserve"> Budapest: L’Harmattan – Ráció, 395–416.</w:t>
            </w:r>
            <w:r w:rsidR="00BF1E23">
              <w:t xml:space="preserve"> </w:t>
            </w:r>
            <w:hyperlink r:id="rId11" w:history="1">
              <w:r w:rsidR="00BF1E23" w:rsidRPr="00DC1EDB">
                <w:rPr>
                  <w:rStyle w:val="Hiperhivatkozs"/>
                </w:rPr>
                <w:t>http://tettconsult.eu/books/TelkutHTM/szovgyujtpdf/06-frida.pdf</w:t>
              </w:r>
            </w:hyperlink>
          </w:p>
          <w:p w:rsidR="00C83643" w:rsidRDefault="00C83643" w:rsidP="00F333BA">
            <w:pPr>
              <w:spacing w:after="0" w:line="240" w:lineRule="auto"/>
              <w:rPr>
                <w:b/>
              </w:rPr>
            </w:pPr>
            <w:r>
              <w:rPr>
                <w:b/>
              </w:rPr>
              <w:t>Ajánlott irodalom:</w:t>
            </w:r>
          </w:p>
          <w:p w:rsidR="00722096" w:rsidRPr="00722096" w:rsidRDefault="00722096" w:rsidP="00722096">
            <w:pPr>
              <w:spacing w:after="0" w:line="240" w:lineRule="auto"/>
            </w:pPr>
            <w:r w:rsidRPr="00722096">
              <w:t xml:space="preserve">Gupta, Akhil és Ferguson, James </w:t>
            </w:r>
          </w:p>
          <w:p w:rsidR="00722096" w:rsidRPr="00722096" w:rsidRDefault="00722096" w:rsidP="00722096">
            <w:pPr>
              <w:spacing w:after="0" w:line="240" w:lineRule="auto"/>
              <w:jc w:val="left"/>
            </w:pPr>
            <w:r w:rsidRPr="00722096">
              <w:t xml:space="preserve">1997 Discipline and Practice. “The Field” as Site, Method and Location in Anthropology. In Akhil Gupta és James Ferguson (szerk.): </w:t>
            </w:r>
            <w:r w:rsidRPr="00722096">
              <w:rPr>
                <w:i/>
              </w:rPr>
              <w:t>Anthropological Locations. Boundaries and Grounds of a Field Science</w:t>
            </w:r>
            <w:r w:rsidRPr="00722096">
              <w:t>. Berkeley: University of California Press, 1–45.</w:t>
            </w:r>
          </w:p>
          <w:p w:rsidR="00722096" w:rsidRPr="00722096" w:rsidRDefault="00722096" w:rsidP="00722096">
            <w:pPr>
              <w:spacing w:after="0" w:line="240" w:lineRule="auto"/>
              <w:jc w:val="left"/>
            </w:pPr>
            <w:r w:rsidRPr="00722096">
              <w:t>Héra Gábor és Ligeti György</w:t>
            </w:r>
          </w:p>
          <w:p w:rsidR="00722096" w:rsidRPr="00722096" w:rsidRDefault="00722096" w:rsidP="00722096">
            <w:pPr>
              <w:spacing w:after="0" w:line="240" w:lineRule="auto"/>
              <w:jc w:val="left"/>
            </w:pPr>
            <w:r w:rsidRPr="00722096">
              <w:t xml:space="preserve">2005 </w:t>
            </w:r>
            <w:r w:rsidRPr="00722096">
              <w:rPr>
                <w:i/>
              </w:rPr>
              <w:t>Módszertan. Bevezetés a társadalmi jelenségek kutatásába</w:t>
            </w:r>
            <w:r w:rsidRPr="00722096">
              <w:t>. Budapest: Osiris Kiadó.</w:t>
            </w:r>
          </w:p>
          <w:p w:rsidR="00722096" w:rsidRPr="00722096" w:rsidRDefault="00722096" w:rsidP="00722096">
            <w:pPr>
              <w:spacing w:after="0" w:line="240" w:lineRule="auto"/>
              <w:jc w:val="left"/>
            </w:pPr>
            <w:r w:rsidRPr="00722096">
              <w:t xml:space="preserve">Holló Imola Dalma és Komjáthy Zsuzsa (szerk.) </w:t>
            </w:r>
          </w:p>
          <w:p w:rsidR="00722096" w:rsidRPr="00722096" w:rsidRDefault="00722096" w:rsidP="00722096">
            <w:pPr>
              <w:spacing w:after="0" w:line="240" w:lineRule="auto"/>
              <w:jc w:val="left"/>
            </w:pPr>
            <w:r w:rsidRPr="00722096">
              <w:t>2001 Jelen lenni és antropológiát írni: a kutatás és a szöveg talányos viszonya. Így kutatnak ők / Hogy kutatunk mi? – Oktatási segédanyag. MTA PTI Etnoregionális Kutatóközpont. Budapest.</w:t>
            </w:r>
          </w:p>
          <w:p w:rsidR="00722096" w:rsidRPr="00722096" w:rsidRDefault="00722096" w:rsidP="00722096">
            <w:pPr>
              <w:spacing w:after="0" w:line="240" w:lineRule="auto"/>
              <w:jc w:val="left"/>
            </w:pPr>
          </w:p>
          <w:p w:rsidR="00722096" w:rsidRPr="00E94322" w:rsidRDefault="00722096" w:rsidP="00722096">
            <w:pPr>
              <w:spacing w:after="0" w:line="240" w:lineRule="auto"/>
              <w:jc w:val="left"/>
              <w:rPr>
                <w:i/>
              </w:rPr>
            </w:pPr>
            <w:r w:rsidRPr="00E94322">
              <w:rPr>
                <w:i/>
              </w:rPr>
              <w:t>Etikai kódexek</w:t>
            </w:r>
          </w:p>
          <w:p w:rsidR="00722096" w:rsidRPr="00722096" w:rsidRDefault="00722096" w:rsidP="00722096">
            <w:pPr>
              <w:spacing w:after="0" w:line="240" w:lineRule="auto"/>
              <w:jc w:val="left"/>
            </w:pPr>
            <w:r w:rsidRPr="00722096">
              <w:t xml:space="preserve">MTA Tudományetikai Kódexe: </w:t>
            </w:r>
            <w:hyperlink r:id="rId12" w:history="1">
              <w:r w:rsidRPr="00722096">
                <w:rPr>
                  <w:rStyle w:val="Hiperhivatkozs"/>
                </w:rPr>
                <w:t>http://mta.hu/hatteranyagok/tudomanyetikai-bizottsag-105786</w:t>
              </w:r>
            </w:hyperlink>
            <w:r w:rsidRPr="00722096">
              <w:t xml:space="preserve"> </w:t>
            </w:r>
          </w:p>
          <w:p w:rsidR="00722096" w:rsidRPr="00722096" w:rsidRDefault="00722096" w:rsidP="00722096">
            <w:pPr>
              <w:spacing w:after="0" w:line="240" w:lineRule="auto"/>
              <w:jc w:val="left"/>
            </w:pPr>
            <w:r w:rsidRPr="00722096">
              <w:t xml:space="preserve">AAA etikai kódexe (1998): </w:t>
            </w:r>
            <w:hyperlink r:id="rId13" w:history="1">
              <w:r w:rsidRPr="00722096">
                <w:rPr>
                  <w:rStyle w:val="Hiperhivatkozs"/>
                </w:rPr>
                <w:t>http://antropologia.tatk.elte.hu/?Etikai_K%F3dexek:Az_AAA_Etikai_K%F3dexe</w:t>
              </w:r>
            </w:hyperlink>
          </w:p>
          <w:p w:rsidR="00C83643" w:rsidRDefault="00C83643" w:rsidP="00F333BA">
            <w:pPr>
              <w:spacing w:after="0" w:line="240" w:lineRule="auto"/>
            </w:pPr>
          </w:p>
        </w:tc>
      </w:tr>
    </w:tbl>
    <w:p w:rsidR="003A6C8E" w:rsidRDefault="003A6C8E"/>
    <w:sectPr w:rsidR="003A6C8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59" w:rsidRDefault="00274259" w:rsidP="00A724F2">
      <w:pPr>
        <w:spacing w:after="0" w:line="240" w:lineRule="auto"/>
      </w:pPr>
      <w:r>
        <w:separator/>
      </w:r>
    </w:p>
  </w:endnote>
  <w:endnote w:type="continuationSeparator" w:id="0">
    <w:p w:rsidR="00274259" w:rsidRDefault="00274259" w:rsidP="00A7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F2" w:rsidRDefault="00A724F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90787"/>
      <w:docPartObj>
        <w:docPartGallery w:val="Page Numbers (Bottom of Page)"/>
        <w:docPartUnique/>
      </w:docPartObj>
    </w:sdtPr>
    <w:sdtEndPr/>
    <w:sdtContent>
      <w:p w:rsidR="00A724F2" w:rsidRDefault="00A724F2">
        <w:pPr>
          <w:pStyle w:val="llb"/>
          <w:jc w:val="right"/>
        </w:pPr>
        <w:r>
          <w:fldChar w:fldCharType="begin"/>
        </w:r>
        <w:r>
          <w:instrText>PAGE   \* MERGEFORMAT</w:instrText>
        </w:r>
        <w:r>
          <w:fldChar w:fldCharType="separate"/>
        </w:r>
        <w:r w:rsidR="0063398A">
          <w:rPr>
            <w:noProof/>
          </w:rPr>
          <w:t>3</w:t>
        </w:r>
        <w:r>
          <w:fldChar w:fldCharType="end"/>
        </w:r>
      </w:p>
    </w:sdtContent>
  </w:sdt>
  <w:p w:rsidR="00A724F2" w:rsidRDefault="00A724F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F2" w:rsidRDefault="00A724F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59" w:rsidRDefault="00274259" w:rsidP="00A724F2">
      <w:pPr>
        <w:spacing w:after="0" w:line="240" w:lineRule="auto"/>
      </w:pPr>
      <w:r>
        <w:separator/>
      </w:r>
    </w:p>
  </w:footnote>
  <w:footnote w:type="continuationSeparator" w:id="0">
    <w:p w:rsidR="00274259" w:rsidRDefault="00274259" w:rsidP="00A72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F2" w:rsidRDefault="00A724F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F2" w:rsidRDefault="00A724F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F2" w:rsidRDefault="00A724F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6562"/>
    <w:multiLevelType w:val="hybridMultilevel"/>
    <w:tmpl w:val="7996FF7C"/>
    <w:lvl w:ilvl="0" w:tplc="040E000F">
      <w:start w:val="1"/>
      <w:numFmt w:val="decimal"/>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
    <w:nsid w:val="3A976F84"/>
    <w:multiLevelType w:val="hybridMultilevel"/>
    <w:tmpl w:val="B314B34C"/>
    <w:lvl w:ilvl="0" w:tplc="040E000F">
      <w:start w:val="1"/>
      <w:numFmt w:val="decimal"/>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
    <w:nsid w:val="532500DD"/>
    <w:multiLevelType w:val="hybridMultilevel"/>
    <w:tmpl w:val="898EB856"/>
    <w:lvl w:ilvl="0" w:tplc="040E000F">
      <w:start w:val="1"/>
      <w:numFmt w:val="decimal"/>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
    <w:nsid w:val="5F2C654D"/>
    <w:multiLevelType w:val="hybridMultilevel"/>
    <w:tmpl w:val="2342DBA4"/>
    <w:lvl w:ilvl="0" w:tplc="040E000F">
      <w:start w:val="1"/>
      <w:numFmt w:val="decimal"/>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4">
    <w:nsid w:val="76A85541"/>
    <w:multiLevelType w:val="hybridMultilevel"/>
    <w:tmpl w:val="BBF67DF6"/>
    <w:lvl w:ilvl="0" w:tplc="01BCEBD8">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43"/>
    <w:rsid w:val="00033215"/>
    <w:rsid w:val="000B56F7"/>
    <w:rsid w:val="001D0BB6"/>
    <w:rsid w:val="00201808"/>
    <w:rsid w:val="002023B8"/>
    <w:rsid w:val="00225678"/>
    <w:rsid w:val="00270036"/>
    <w:rsid w:val="00274259"/>
    <w:rsid w:val="003371A5"/>
    <w:rsid w:val="003A6C8E"/>
    <w:rsid w:val="004765DF"/>
    <w:rsid w:val="005E53E8"/>
    <w:rsid w:val="0063398A"/>
    <w:rsid w:val="00722096"/>
    <w:rsid w:val="007B50FA"/>
    <w:rsid w:val="00996280"/>
    <w:rsid w:val="00A724F2"/>
    <w:rsid w:val="00A947C8"/>
    <w:rsid w:val="00B34B4E"/>
    <w:rsid w:val="00BF1E23"/>
    <w:rsid w:val="00C83643"/>
    <w:rsid w:val="00E94322"/>
    <w:rsid w:val="00F42849"/>
    <w:rsid w:val="00F509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C83643"/>
    <w:pPr>
      <w:suppressAutoHyphens/>
      <w:autoSpaceDN w:val="0"/>
      <w:spacing w:after="120" w:line="276" w:lineRule="auto"/>
      <w:jc w:val="both"/>
      <w:textAlignment w:val="baseline"/>
    </w:pPr>
    <w:rPr>
      <w:rFonts w:ascii="Times New Roman" w:eastAsia="Calibri"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023B8"/>
    <w:rPr>
      <w:color w:val="0563C1" w:themeColor="hyperlink"/>
      <w:u w:val="single"/>
    </w:rPr>
  </w:style>
  <w:style w:type="paragraph" w:styleId="lfej">
    <w:name w:val="header"/>
    <w:basedOn w:val="Norml"/>
    <w:link w:val="lfejChar"/>
    <w:uiPriority w:val="99"/>
    <w:unhideWhenUsed/>
    <w:rsid w:val="00A724F2"/>
    <w:pPr>
      <w:tabs>
        <w:tab w:val="center" w:pos="4536"/>
        <w:tab w:val="right" w:pos="9072"/>
      </w:tabs>
      <w:spacing w:after="0" w:line="240" w:lineRule="auto"/>
    </w:pPr>
  </w:style>
  <w:style w:type="character" w:customStyle="1" w:styleId="lfejChar">
    <w:name w:val="Élőfej Char"/>
    <w:basedOn w:val="Bekezdsalapbettpusa"/>
    <w:link w:val="lfej"/>
    <w:uiPriority w:val="99"/>
    <w:rsid w:val="00A724F2"/>
    <w:rPr>
      <w:rFonts w:ascii="Times New Roman" w:eastAsia="Calibri" w:hAnsi="Times New Roman" w:cs="Times New Roman"/>
    </w:rPr>
  </w:style>
  <w:style w:type="paragraph" w:styleId="llb">
    <w:name w:val="footer"/>
    <w:basedOn w:val="Norml"/>
    <w:link w:val="llbChar"/>
    <w:uiPriority w:val="99"/>
    <w:unhideWhenUsed/>
    <w:rsid w:val="00A724F2"/>
    <w:pPr>
      <w:tabs>
        <w:tab w:val="center" w:pos="4536"/>
        <w:tab w:val="right" w:pos="9072"/>
      </w:tabs>
      <w:spacing w:after="0" w:line="240" w:lineRule="auto"/>
    </w:pPr>
  </w:style>
  <w:style w:type="character" w:customStyle="1" w:styleId="llbChar">
    <w:name w:val="Élőláb Char"/>
    <w:basedOn w:val="Bekezdsalapbettpusa"/>
    <w:link w:val="llb"/>
    <w:uiPriority w:val="99"/>
    <w:rsid w:val="00A724F2"/>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C83643"/>
    <w:pPr>
      <w:suppressAutoHyphens/>
      <w:autoSpaceDN w:val="0"/>
      <w:spacing w:after="120" w:line="276" w:lineRule="auto"/>
      <w:jc w:val="both"/>
      <w:textAlignment w:val="baseline"/>
    </w:pPr>
    <w:rPr>
      <w:rFonts w:ascii="Times New Roman" w:eastAsia="Calibri"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023B8"/>
    <w:rPr>
      <w:color w:val="0563C1" w:themeColor="hyperlink"/>
      <w:u w:val="single"/>
    </w:rPr>
  </w:style>
  <w:style w:type="paragraph" w:styleId="lfej">
    <w:name w:val="header"/>
    <w:basedOn w:val="Norml"/>
    <w:link w:val="lfejChar"/>
    <w:uiPriority w:val="99"/>
    <w:unhideWhenUsed/>
    <w:rsid w:val="00A724F2"/>
    <w:pPr>
      <w:tabs>
        <w:tab w:val="center" w:pos="4536"/>
        <w:tab w:val="right" w:pos="9072"/>
      </w:tabs>
      <w:spacing w:after="0" w:line="240" w:lineRule="auto"/>
    </w:pPr>
  </w:style>
  <w:style w:type="character" w:customStyle="1" w:styleId="lfejChar">
    <w:name w:val="Élőfej Char"/>
    <w:basedOn w:val="Bekezdsalapbettpusa"/>
    <w:link w:val="lfej"/>
    <w:uiPriority w:val="99"/>
    <w:rsid w:val="00A724F2"/>
    <w:rPr>
      <w:rFonts w:ascii="Times New Roman" w:eastAsia="Calibri" w:hAnsi="Times New Roman" w:cs="Times New Roman"/>
    </w:rPr>
  </w:style>
  <w:style w:type="paragraph" w:styleId="llb">
    <w:name w:val="footer"/>
    <w:basedOn w:val="Norml"/>
    <w:link w:val="llbChar"/>
    <w:uiPriority w:val="99"/>
    <w:unhideWhenUsed/>
    <w:rsid w:val="00A724F2"/>
    <w:pPr>
      <w:tabs>
        <w:tab w:val="center" w:pos="4536"/>
        <w:tab w:val="right" w:pos="9072"/>
      </w:tabs>
      <w:spacing w:after="0" w:line="240" w:lineRule="auto"/>
    </w:pPr>
  </w:style>
  <w:style w:type="character" w:customStyle="1" w:styleId="llbChar">
    <w:name w:val="Élőláb Char"/>
    <w:basedOn w:val="Bekezdsalapbettpusa"/>
    <w:link w:val="llb"/>
    <w:uiPriority w:val="99"/>
    <w:rsid w:val="00A724F2"/>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oszk.hu/00400/00462/00023/pdf/terep03.pdf" TargetMode="External"/><Relationship Id="rId13" Type="http://schemas.openxmlformats.org/officeDocument/2006/relationships/hyperlink" Target="http://antropologia.tatk.elte.hu/?Etikai_K%F3dexek:Az_AAA_Etikai_K%F3dex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ta.hu/hatteranyagok/tudomanyetikai-bizottsag-10578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ttconsult.eu/books/TelkutHTM/szovgyujtpdf/06-frida.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pa.oszk.hu/02900/02936/00018/pdf/EPA02936_kultura_es_kozosseg_2014_03_077-094.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kisebbsegkutato.tk.mta.hu/uploads/files/olvasoszoba/regiokonyvek/kozossegtanulmany.pdf"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8701</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kvai</cp:lastModifiedBy>
  <cp:revision>2</cp:revision>
  <dcterms:created xsi:type="dcterms:W3CDTF">2018-09-28T06:50:00Z</dcterms:created>
  <dcterms:modified xsi:type="dcterms:W3CDTF">2018-09-28T06:50:00Z</dcterms:modified>
</cp:coreProperties>
</file>